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72A81" w14:textId="77777777" w:rsidR="00784C33" w:rsidRDefault="00784C33" w:rsidP="00784C33">
      <w:pPr>
        <w:rPr>
          <w:u w:val="single"/>
        </w:rPr>
      </w:pPr>
      <w:r w:rsidRPr="00D015D9">
        <w:rPr>
          <w:u w:val="single"/>
        </w:rPr>
        <w:t>Desert Laboratory Collection: Fossil Packrat Midden Loan Policy</w:t>
      </w:r>
    </w:p>
    <w:p w14:paraId="16596F14" w14:textId="77777777" w:rsidR="00F31A49" w:rsidRPr="00D015D9" w:rsidRDefault="00F31A49" w:rsidP="00784C33">
      <w:pPr>
        <w:rPr>
          <w:u w:val="single"/>
        </w:rPr>
      </w:pPr>
    </w:p>
    <w:p w14:paraId="7A065AAC" w14:textId="77777777" w:rsidR="00784C33" w:rsidRPr="00784C33" w:rsidRDefault="00784C33" w:rsidP="00784C33">
      <w:pPr>
        <w:rPr>
          <w:b/>
          <w:bCs/>
        </w:rPr>
      </w:pPr>
      <w:r w:rsidRPr="00784C33">
        <w:rPr>
          <w:b/>
          <w:bCs/>
        </w:rPr>
        <w:t>1. Purpose and Scope</w:t>
      </w:r>
    </w:p>
    <w:p w14:paraId="4B11F381" w14:textId="2859CEBF" w:rsidR="00784C33" w:rsidRPr="00784C33" w:rsidRDefault="00784C33" w:rsidP="00B9582A">
      <w:r w:rsidRPr="00784C33">
        <w:t>The Desert Laboratory on Tumamoc Hill maintains a collection of over 2,000 fossil packrat (</w:t>
      </w:r>
      <w:r w:rsidRPr="00784C33">
        <w:rPr>
          <w:i/>
          <w:iCs/>
        </w:rPr>
        <w:t>Neotoma</w:t>
      </w:r>
      <w:r w:rsidRPr="00784C33">
        <w:t xml:space="preserve"> spp.) middens from western North America. These specimens are fragile, non-renewable historical archives used for Quaternary paleoecology, climate change research, and vegetation history.</w:t>
      </w:r>
      <w:r w:rsidR="00B9582A">
        <w:t xml:space="preserve"> </w:t>
      </w:r>
      <w:r w:rsidRPr="00784C33">
        <w:t>Loans are granted solely for accredited scientific research, education, and public exhibition.</w:t>
      </w:r>
      <w:r w:rsidR="00B9582A">
        <w:t xml:space="preserve"> </w:t>
      </w:r>
      <w:r w:rsidRPr="00784C33">
        <w:t>Specimen access is contingent upon strict preservation, stable environmental housing, and accountability.</w:t>
      </w:r>
    </w:p>
    <w:p w14:paraId="4B3D0F71" w14:textId="77777777" w:rsidR="00784C33" w:rsidRPr="00784C33" w:rsidRDefault="00784C33" w:rsidP="00784C33">
      <w:pPr>
        <w:rPr>
          <w:b/>
          <w:bCs/>
        </w:rPr>
      </w:pPr>
      <w:r w:rsidRPr="00784C33">
        <w:rPr>
          <w:b/>
          <w:bCs/>
        </w:rPr>
        <w:t>2. Eligibility</w:t>
      </w:r>
    </w:p>
    <w:p w14:paraId="2C241A23" w14:textId="76AD5DE9" w:rsidR="00784C33" w:rsidRPr="00784C33" w:rsidRDefault="00784C33" w:rsidP="001E6833">
      <w:r w:rsidRPr="00784C33">
        <w:t xml:space="preserve">Loans are made to </w:t>
      </w:r>
      <w:proofErr w:type="gramStart"/>
      <w:r w:rsidRPr="00784C33">
        <w:t>recognized</w:t>
      </w:r>
      <w:proofErr w:type="gramEnd"/>
      <w:r w:rsidRPr="00784C33">
        <w:t xml:space="preserve"> academic institutions, museums, and qualified principal investigators (faculty or senior researchers).</w:t>
      </w:r>
      <w:r w:rsidR="001E6833">
        <w:t xml:space="preserve"> </w:t>
      </w:r>
      <w:r w:rsidRPr="00784C33">
        <w:t xml:space="preserve">Loans are </w:t>
      </w:r>
      <w:r w:rsidRPr="00784C33">
        <w:rPr>
          <w:b/>
          <w:bCs/>
        </w:rPr>
        <w:t>not</w:t>
      </w:r>
      <w:r w:rsidRPr="00784C33">
        <w:t xml:space="preserve"> made to individual students or non-affiliated researchers without the co-signature of a sponsoring faculty member or museum curator who assumes joint responsibility for the material.</w:t>
      </w:r>
      <w:r w:rsidR="001E6833">
        <w:t xml:space="preserve"> </w:t>
      </w:r>
      <w:r w:rsidRPr="00784C33">
        <w:t>Commercial use of loaned midden materials or derivative data for profit is strictly prohibited.</w:t>
      </w:r>
    </w:p>
    <w:p w14:paraId="5C8DB175" w14:textId="77777777" w:rsidR="00784C33" w:rsidRPr="00784C33" w:rsidRDefault="00784C33" w:rsidP="00784C33">
      <w:pPr>
        <w:rPr>
          <w:b/>
          <w:bCs/>
        </w:rPr>
      </w:pPr>
      <w:r w:rsidRPr="00784C33">
        <w:rPr>
          <w:b/>
          <w:bCs/>
        </w:rPr>
        <w:t>3. Request Procedure</w:t>
      </w:r>
    </w:p>
    <w:p w14:paraId="42DDB197" w14:textId="77777777" w:rsidR="00784C33" w:rsidRPr="00784C33" w:rsidRDefault="00784C33" w:rsidP="00784C33">
      <w:r w:rsidRPr="00784C33">
        <w:t>Requests must be submitted in writing on official institutional letterhead to the designated Collection Manager or Curator. The request must include:</w:t>
      </w:r>
    </w:p>
    <w:p w14:paraId="4DF2D0C3" w14:textId="27A43F92" w:rsidR="00784C33" w:rsidRPr="00784C33" w:rsidRDefault="00784C33" w:rsidP="001E6833">
      <w:pPr>
        <w:pStyle w:val="ListParagraph"/>
        <w:numPr>
          <w:ilvl w:val="0"/>
          <w:numId w:val="3"/>
        </w:numPr>
      </w:pPr>
      <w:r w:rsidRPr="001E6833">
        <w:rPr>
          <w:i/>
          <w:iCs/>
        </w:rPr>
        <w:t>Project Description:</w:t>
      </w:r>
      <w:r w:rsidRPr="00784C33">
        <w:t xml:space="preserve"> A summary of the research goals, hypotheses, and significance.</w:t>
      </w:r>
    </w:p>
    <w:p w14:paraId="773F99AF" w14:textId="77777777" w:rsidR="00784C33" w:rsidRPr="00784C33" w:rsidRDefault="00784C33" w:rsidP="00784C33">
      <w:pPr>
        <w:numPr>
          <w:ilvl w:val="0"/>
          <w:numId w:val="3"/>
        </w:numPr>
      </w:pPr>
      <w:r w:rsidRPr="001E6833">
        <w:rPr>
          <w:i/>
          <w:iCs/>
        </w:rPr>
        <w:t>Specimen Details:</w:t>
      </w:r>
      <w:r w:rsidRPr="00784C33">
        <w:t xml:space="preserve"> Specific catalog numbers or criteria of requested middens.</w:t>
      </w:r>
    </w:p>
    <w:p w14:paraId="5DF7CE67" w14:textId="77777777" w:rsidR="00784C33" w:rsidRPr="00784C33" w:rsidRDefault="00784C33" w:rsidP="00784C33">
      <w:pPr>
        <w:numPr>
          <w:ilvl w:val="0"/>
          <w:numId w:val="3"/>
        </w:numPr>
      </w:pPr>
      <w:r w:rsidRPr="001E6833">
        <w:rPr>
          <w:i/>
          <w:iCs/>
        </w:rPr>
        <w:t>Justification:</w:t>
      </w:r>
      <w:r w:rsidRPr="00784C33">
        <w:t xml:space="preserve"> Clear reasons why archival collection material is required instead of field sampling.</w:t>
      </w:r>
    </w:p>
    <w:p w14:paraId="06B61AC4" w14:textId="77777777" w:rsidR="00784C33" w:rsidRDefault="00784C33" w:rsidP="00784C33">
      <w:pPr>
        <w:numPr>
          <w:ilvl w:val="0"/>
          <w:numId w:val="3"/>
        </w:numPr>
      </w:pPr>
      <w:r w:rsidRPr="001E6833">
        <w:rPr>
          <w:i/>
          <w:iCs/>
        </w:rPr>
        <w:t>Facility Report:</w:t>
      </w:r>
      <w:r w:rsidRPr="00784C33">
        <w:t xml:space="preserve"> Documentation showing the borrowing institution maintains a secure, climate-controlled, pest-free environment.</w:t>
      </w:r>
    </w:p>
    <w:p w14:paraId="254C3099" w14:textId="68FD6AB4" w:rsidR="008E4688" w:rsidRPr="008E4688" w:rsidRDefault="008E4688" w:rsidP="008E4688">
      <w:pPr>
        <w:rPr>
          <w:i/>
          <w:iCs/>
        </w:rPr>
      </w:pPr>
      <w:r w:rsidRPr="008E4688">
        <w:rPr>
          <w:i/>
          <w:iCs/>
        </w:rPr>
        <w:t>3.1. Incoming / Outgoing Specimen Receipt Form</w:t>
      </w:r>
    </w:p>
    <w:p w14:paraId="76F12E20" w14:textId="77777777" w:rsidR="008E4688" w:rsidRPr="00C51E65" w:rsidRDefault="008E4688" w:rsidP="008E4688">
      <w:r w:rsidRPr="00C51E65">
        <w:t xml:space="preserve">Instructions: The Desert Laboratory completes this form prior to shipping. The Borrower must inspect the package, sign, and return a copy via email within </w:t>
      </w:r>
      <w:r w:rsidRPr="00C51E65">
        <w:rPr>
          <w:b/>
          <w:bCs/>
        </w:rPr>
        <w:t>48 hours</w:t>
      </w:r>
      <w:r w:rsidRPr="00C51E65">
        <w:t xml:space="preserve"> of receipt.</w:t>
      </w:r>
    </w:p>
    <w:p w14:paraId="1D838BF2" w14:textId="4617F50F" w:rsidR="008E4688" w:rsidRPr="00C51E65" w:rsidRDefault="00C51E65" w:rsidP="008E4688">
      <w:pPr>
        <w:rPr>
          <w:i/>
          <w:iCs/>
          <w:u w:val="single"/>
        </w:rPr>
      </w:pPr>
      <w:r w:rsidRPr="00C51E65">
        <w:rPr>
          <w:i/>
          <w:iCs/>
          <w:u w:val="single"/>
        </w:rPr>
        <w:t>3.1.</w:t>
      </w:r>
      <w:r w:rsidR="008E4688" w:rsidRPr="00C51E65">
        <w:rPr>
          <w:i/>
          <w:iCs/>
          <w:u w:val="single"/>
        </w:rPr>
        <w:t>1. Loan Overview</w:t>
      </w:r>
    </w:p>
    <w:p w14:paraId="5A9C8261" w14:textId="77777777" w:rsidR="008E4688" w:rsidRPr="00784C33" w:rsidRDefault="008E4688" w:rsidP="008E4688">
      <w:pPr>
        <w:numPr>
          <w:ilvl w:val="0"/>
          <w:numId w:val="12"/>
        </w:numPr>
      </w:pPr>
      <w:r w:rsidRPr="00784C33">
        <w:rPr>
          <w:b/>
          <w:bCs/>
        </w:rPr>
        <w:t>Loan Number:</w:t>
      </w:r>
      <w:r w:rsidRPr="00784C33">
        <w:t xml:space="preserve"> _______________</w:t>
      </w:r>
    </w:p>
    <w:p w14:paraId="4142974F" w14:textId="77777777" w:rsidR="008E4688" w:rsidRPr="00784C33" w:rsidRDefault="008E4688" w:rsidP="008E4688">
      <w:pPr>
        <w:numPr>
          <w:ilvl w:val="0"/>
          <w:numId w:val="12"/>
        </w:numPr>
      </w:pPr>
      <w:r w:rsidRPr="00784C33">
        <w:rPr>
          <w:b/>
          <w:bCs/>
        </w:rPr>
        <w:t>Date Shipped:</w:t>
      </w:r>
      <w:r w:rsidRPr="00784C33">
        <w:t xml:space="preserve"> _______________</w:t>
      </w:r>
    </w:p>
    <w:p w14:paraId="32B383E6" w14:textId="77777777" w:rsidR="008E4688" w:rsidRPr="00784C33" w:rsidRDefault="008E4688" w:rsidP="008E4688">
      <w:pPr>
        <w:numPr>
          <w:ilvl w:val="0"/>
          <w:numId w:val="12"/>
        </w:numPr>
      </w:pPr>
      <w:r w:rsidRPr="00784C33">
        <w:rPr>
          <w:b/>
          <w:bCs/>
        </w:rPr>
        <w:lastRenderedPageBreak/>
        <w:t>Borrower Name &amp; Institution:</w:t>
      </w:r>
      <w:r w:rsidRPr="00784C33">
        <w:t xml:space="preserve"> _______________________________________________</w:t>
      </w:r>
    </w:p>
    <w:p w14:paraId="2BD7CBFF" w14:textId="77777777" w:rsidR="008E4688" w:rsidRPr="00784C33" w:rsidRDefault="008E4688" w:rsidP="008E4688">
      <w:pPr>
        <w:numPr>
          <w:ilvl w:val="0"/>
          <w:numId w:val="12"/>
        </w:numPr>
      </w:pPr>
      <w:r w:rsidRPr="00784C33">
        <w:rPr>
          <w:b/>
          <w:bCs/>
        </w:rPr>
        <w:t xml:space="preserve">Shipping Carrier &amp; </w:t>
      </w:r>
      <w:proofErr w:type="gramStart"/>
      <w:r w:rsidRPr="00784C33">
        <w:rPr>
          <w:b/>
          <w:bCs/>
        </w:rPr>
        <w:t>Tracking #:</w:t>
      </w:r>
      <w:proofErr w:type="gramEnd"/>
      <w:r w:rsidRPr="00784C33">
        <w:t xml:space="preserve"> ______________________________________________</w:t>
      </w:r>
    </w:p>
    <w:p w14:paraId="10B9CD62" w14:textId="6D68037E" w:rsidR="008E4688" w:rsidRPr="00C51E65" w:rsidRDefault="00C51E65" w:rsidP="00C51E65">
      <w:pPr>
        <w:spacing w:after="0" w:line="240" w:lineRule="auto"/>
        <w:rPr>
          <w:rFonts w:eastAsia="Times New Roman" w:cs="Times New Roman"/>
          <w:kern w:val="0"/>
          <w14:ligatures w14:val="none"/>
        </w:rPr>
      </w:pPr>
      <w:r w:rsidRPr="00C51E65">
        <w:rPr>
          <w:rFonts w:eastAsia="Times New Roman" w:cs="Times New Roman"/>
          <w:i/>
          <w:iCs/>
          <w:kern w:val="0"/>
          <w:u w:val="single"/>
          <w14:ligatures w14:val="none"/>
        </w:rPr>
        <w:t>3.1.</w:t>
      </w:r>
      <w:r w:rsidR="008E4688" w:rsidRPr="00C51E65">
        <w:rPr>
          <w:rFonts w:eastAsia="Times New Roman" w:cs="Times New Roman"/>
          <w:i/>
          <w:iCs/>
          <w:kern w:val="0"/>
          <w:u w:val="single"/>
          <w14:ligatures w14:val="none"/>
        </w:rPr>
        <w:t>2. Specimen Manifest &amp; Condition Report</w:t>
      </w:r>
      <w:r>
        <w:rPr>
          <w:rFonts w:eastAsia="Times New Roman" w:cs="Times New Roman"/>
          <w:kern w:val="0"/>
          <w14:ligatures w14:val="none"/>
        </w:rPr>
        <w:t xml:space="preserve"> (example provided)</w:t>
      </w:r>
    </w:p>
    <w:p w14:paraId="317022DF" w14:textId="77777777" w:rsidR="00C51E65" w:rsidRPr="00C51E65" w:rsidRDefault="00C51E65" w:rsidP="00C51E65">
      <w:pPr>
        <w:spacing w:after="0" w:line="240" w:lineRule="auto"/>
        <w:rPr>
          <w:rFonts w:eastAsia="Times New Roman" w:cs="Times New Roman"/>
          <w:b/>
          <w:bCs/>
          <w:kern w:val="0"/>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1"/>
        <w:gridCol w:w="1581"/>
        <w:gridCol w:w="2392"/>
        <w:gridCol w:w="838"/>
        <w:gridCol w:w="1763"/>
        <w:gridCol w:w="1915"/>
      </w:tblGrid>
      <w:tr w:rsidR="008E4688" w:rsidRPr="00784C33" w14:paraId="2183AE4F" w14:textId="77777777" w:rsidTr="00E30413">
        <w:trPr>
          <w:tblCellSpacing w:w="15" w:type="dxa"/>
        </w:trPr>
        <w:tc>
          <w:tcPr>
            <w:tcW w:w="0" w:type="auto"/>
            <w:tcBorders>
              <w:bottom w:val="single" w:sz="4" w:space="0" w:color="DCDFE5"/>
            </w:tcBorders>
            <w:vAlign w:val="center"/>
            <w:hideMark/>
          </w:tcPr>
          <w:p w14:paraId="4308D09D" w14:textId="77777777" w:rsidR="008E4688" w:rsidRPr="00784C33" w:rsidRDefault="008E4688" w:rsidP="00E30413">
            <w:pPr>
              <w:spacing w:after="0" w:line="240" w:lineRule="auto"/>
              <w:jc w:val="center"/>
              <w:rPr>
                <w:rFonts w:ascii="Roboto" w:eastAsia="Times New Roman" w:hAnsi="Roboto" w:cs="Times New Roman"/>
                <w:b/>
                <w:bCs/>
                <w:kern w:val="0"/>
                <w:sz w:val="21"/>
                <w:szCs w:val="21"/>
                <w14:ligatures w14:val="none"/>
              </w:rPr>
            </w:pPr>
            <w:r w:rsidRPr="00784C33">
              <w:rPr>
                <w:rFonts w:ascii="Roboto" w:eastAsia="Times New Roman" w:hAnsi="Roboto" w:cs="Times New Roman"/>
                <w:b/>
                <w:bCs/>
                <w:kern w:val="0"/>
                <w:sz w:val="21"/>
                <w:szCs w:val="21"/>
                <w14:ligatures w14:val="none"/>
              </w:rPr>
              <w:t>Catalog #</w:t>
            </w:r>
          </w:p>
        </w:tc>
        <w:tc>
          <w:tcPr>
            <w:tcW w:w="0" w:type="auto"/>
            <w:tcBorders>
              <w:bottom w:val="single" w:sz="4" w:space="0" w:color="DCDFE5"/>
            </w:tcBorders>
            <w:vAlign w:val="center"/>
            <w:hideMark/>
          </w:tcPr>
          <w:p w14:paraId="4437F0B9" w14:textId="77777777" w:rsidR="008E4688" w:rsidRPr="00784C33" w:rsidRDefault="008E4688" w:rsidP="00E30413">
            <w:pPr>
              <w:spacing w:after="0" w:line="240" w:lineRule="auto"/>
              <w:jc w:val="center"/>
              <w:rPr>
                <w:rFonts w:ascii="Roboto" w:eastAsia="Times New Roman" w:hAnsi="Roboto" w:cs="Times New Roman"/>
                <w:b/>
                <w:bCs/>
                <w:kern w:val="0"/>
                <w:sz w:val="21"/>
                <w:szCs w:val="21"/>
                <w14:ligatures w14:val="none"/>
              </w:rPr>
            </w:pPr>
            <w:r w:rsidRPr="00784C33">
              <w:rPr>
                <w:rFonts w:ascii="Roboto" w:eastAsia="Times New Roman" w:hAnsi="Roboto" w:cs="Times New Roman"/>
                <w:b/>
                <w:bCs/>
                <w:kern w:val="0"/>
                <w:sz w:val="21"/>
                <w:szCs w:val="21"/>
                <w14:ligatures w14:val="none"/>
              </w:rPr>
              <w:t>Taxa / Locality</w:t>
            </w:r>
          </w:p>
        </w:tc>
        <w:tc>
          <w:tcPr>
            <w:tcW w:w="0" w:type="auto"/>
            <w:tcBorders>
              <w:bottom w:val="single" w:sz="4" w:space="0" w:color="DCDFE5"/>
            </w:tcBorders>
            <w:vAlign w:val="center"/>
            <w:hideMark/>
          </w:tcPr>
          <w:p w14:paraId="311AD34F" w14:textId="77777777" w:rsidR="008E4688" w:rsidRPr="00784C33" w:rsidRDefault="008E4688" w:rsidP="00E30413">
            <w:pPr>
              <w:spacing w:after="0" w:line="240" w:lineRule="auto"/>
              <w:jc w:val="center"/>
              <w:rPr>
                <w:rFonts w:ascii="Roboto" w:eastAsia="Times New Roman" w:hAnsi="Roboto" w:cs="Times New Roman"/>
                <w:b/>
                <w:bCs/>
                <w:kern w:val="0"/>
                <w:sz w:val="21"/>
                <w:szCs w:val="21"/>
                <w14:ligatures w14:val="none"/>
              </w:rPr>
            </w:pPr>
            <w:r w:rsidRPr="00784C33">
              <w:rPr>
                <w:rFonts w:ascii="Roboto" w:eastAsia="Times New Roman" w:hAnsi="Roboto" w:cs="Times New Roman"/>
                <w:b/>
                <w:bCs/>
                <w:kern w:val="0"/>
                <w:sz w:val="21"/>
                <w:szCs w:val="21"/>
                <w14:ligatures w14:val="none"/>
              </w:rPr>
              <w:t>Description (Matrix / Loose Macrofossils)</w:t>
            </w:r>
          </w:p>
        </w:tc>
        <w:tc>
          <w:tcPr>
            <w:tcW w:w="0" w:type="auto"/>
            <w:tcBorders>
              <w:bottom w:val="single" w:sz="4" w:space="0" w:color="DCDFE5"/>
            </w:tcBorders>
            <w:vAlign w:val="center"/>
            <w:hideMark/>
          </w:tcPr>
          <w:p w14:paraId="6D2938F7" w14:textId="77777777" w:rsidR="008E4688" w:rsidRPr="00784C33" w:rsidRDefault="008E4688" w:rsidP="00E30413">
            <w:pPr>
              <w:spacing w:after="0" w:line="240" w:lineRule="auto"/>
              <w:jc w:val="center"/>
              <w:rPr>
                <w:rFonts w:ascii="Roboto" w:eastAsia="Times New Roman" w:hAnsi="Roboto" w:cs="Times New Roman"/>
                <w:b/>
                <w:bCs/>
                <w:kern w:val="0"/>
                <w:sz w:val="21"/>
                <w:szCs w:val="21"/>
                <w14:ligatures w14:val="none"/>
              </w:rPr>
            </w:pPr>
            <w:r w:rsidRPr="00784C33">
              <w:rPr>
                <w:rFonts w:ascii="Roboto" w:eastAsia="Times New Roman" w:hAnsi="Roboto" w:cs="Times New Roman"/>
                <w:b/>
                <w:bCs/>
                <w:kern w:val="0"/>
                <w:sz w:val="21"/>
                <w:szCs w:val="21"/>
                <w14:ligatures w14:val="none"/>
              </w:rPr>
              <w:t>Weight (g)</w:t>
            </w:r>
          </w:p>
        </w:tc>
        <w:tc>
          <w:tcPr>
            <w:tcW w:w="0" w:type="auto"/>
            <w:tcBorders>
              <w:bottom w:val="single" w:sz="4" w:space="0" w:color="DCDFE5"/>
            </w:tcBorders>
            <w:vAlign w:val="center"/>
            <w:hideMark/>
          </w:tcPr>
          <w:p w14:paraId="617B4F91" w14:textId="77777777" w:rsidR="008E4688" w:rsidRPr="00784C33" w:rsidRDefault="008E4688" w:rsidP="00E30413">
            <w:pPr>
              <w:spacing w:after="0" w:line="240" w:lineRule="auto"/>
              <w:jc w:val="center"/>
              <w:rPr>
                <w:rFonts w:ascii="Roboto" w:eastAsia="Times New Roman" w:hAnsi="Roboto" w:cs="Times New Roman"/>
                <w:b/>
                <w:bCs/>
                <w:kern w:val="0"/>
                <w:sz w:val="21"/>
                <w:szCs w:val="21"/>
                <w14:ligatures w14:val="none"/>
              </w:rPr>
            </w:pPr>
            <w:r w:rsidRPr="00784C33">
              <w:rPr>
                <w:rFonts w:ascii="Roboto" w:eastAsia="Times New Roman" w:hAnsi="Roboto" w:cs="Times New Roman"/>
                <w:b/>
                <w:bCs/>
                <w:kern w:val="0"/>
                <w:sz w:val="21"/>
                <w:szCs w:val="21"/>
                <w14:ligatures w14:val="none"/>
              </w:rPr>
              <w:t>Initial Condition (Lender Notes)</w:t>
            </w:r>
          </w:p>
        </w:tc>
        <w:tc>
          <w:tcPr>
            <w:tcW w:w="0" w:type="auto"/>
            <w:tcBorders>
              <w:bottom w:val="single" w:sz="4" w:space="0" w:color="DCDFE5"/>
            </w:tcBorders>
            <w:vAlign w:val="center"/>
            <w:hideMark/>
          </w:tcPr>
          <w:p w14:paraId="52A866FC" w14:textId="77777777" w:rsidR="008E4688" w:rsidRPr="00784C33" w:rsidRDefault="008E4688" w:rsidP="00E30413">
            <w:pPr>
              <w:spacing w:after="0" w:line="240" w:lineRule="auto"/>
              <w:jc w:val="center"/>
              <w:rPr>
                <w:rFonts w:ascii="Roboto" w:eastAsia="Times New Roman" w:hAnsi="Roboto" w:cs="Times New Roman"/>
                <w:b/>
                <w:bCs/>
                <w:kern w:val="0"/>
                <w:sz w:val="21"/>
                <w:szCs w:val="21"/>
                <w14:ligatures w14:val="none"/>
              </w:rPr>
            </w:pPr>
            <w:r w:rsidRPr="00784C33">
              <w:rPr>
                <w:rFonts w:ascii="Roboto" w:eastAsia="Times New Roman" w:hAnsi="Roboto" w:cs="Times New Roman"/>
                <w:b/>
                <w:bCs/>
                <w:kern w:val="0"/>
                <w:sz w:val="21"/>
                <w:szCs w:val="21"/>
                <w14:ligatures w14:val="none"/>
              </w:rPr>
              <w:t>Arrival Condition (Borrower Notes)</w:t>
            </w:r>
          </w:p>
        </w:tc>
      </w:tr>
      <w:tr w:rsidR="008E4688" w:rsidRPr="00784C33" w14:paraId="3AD071BB" w14:textId="77777777" w:rsidTr="00E30413">
        <w:trPr>
          <w:tblCellSpacing w:w="15" w:type="dxa"/>
        </w:trPr>
        <w:tc>
          <w:tcPr>
            <w:tcW w:w="0" w:type="auto"/>
            <w:tcBorders>
              <w:bottom w:val="single" w:sz="4" w:space="0" w:color="DCDFE5"/>
            </w:tcBorders>
            <w:vAlign w:val="center"/>
            <w:hideMark/>
          </w:tcPr>
          <w:p w14:paraId="53C2E198" w14:textId="77777777" w:rsidR="008E4688" w:rsidRPr="00784C33" w:rsidRDefault="008E4688" w:rsidP="00E30413">
            <w:pPr>
              <w:spacing w:after="0" w:line="240" w:lineRule="auto"/>
              <w:rPr>
                <w:rFonts w:ascii="Roboto" w:eastAsia="Times New Roman" w:hAnsi="Roboto" w:cs="Times New Roman"/>
                <w:kern w:val="0"/>
                <w:sz w:val="21"/>
                <w:szCs w:val="21"/>
                <w14:ligatures w14:val="none"/>
              </w:rPr>
            </w:pPr>
            <w:r w:rsidRPr="00784C33">
              <w:rPr>
                <w:rFonts w:ascii="Roboto" w:eastAsia="Times New Roman" w:hAnsi="Roboto" w:cs="Times New Roman"/>
                <w:i/>
                <w:iCs/>
                <w:kern w:val="0"/>
                <w:sz w:val="21"/>
                <w:szCs w:val="21"/>
                <w14:ligatures w14:val="none"/>
              </w:rPr>
              <w:t>DL-0842</w:t>
            </w:r>
          </w:p>
        </w:tc>
        <w:tc>
          <w:tcPr>
            <w:tcW w:w="0" w:type="auto"/>
            <w:tcBorders>
              <w:bottom w:val="single" w:sz="4" w:space="0" w:color="DCDFE5"/>
            </w:tcBorders>
            <w:vAlign w:val="center"/>
            <w:hideMark/>
          </w:tcPr>
          <w:p w14:paraId="76555656" w14:textId="77777777" w:rsidR="008E4688" w:rsidRPr="00784C33" w:rsidRDefault="008E4688" w:rsidP="00E30413">
            <w:pPr>
              <w:spacing w:after="0" w:line="240" w:lineRule="auto"/>
              <w:rPr>
                <w:rFonts w:ascii="Roboto" w:eastAsia="Times New Roman" w:hAnsi="Roboto" w:cs="Times New Roman"/>
                <w:kern w:val="0"/>
                <w:sz w:val="21"/>
                <w:szCs w:val="21"/>
                <w14:ligatures w14:val="none"/>
              </w:rPr>
            </w:pPr>
            <w:r w:rsidRPr="00784C33">
              <w:rPr>
                <w:rFonts w:ascii="Roboto" w:eastAsia="Times New Roman" w:hAnsi="Roboto" w:cs="Times New Roman"/>
                <w:i/>
                <w:iCs/>
                <w:kern w:val="0"/>
                <w:sz w:val="21"/>
                <w:szCs w:val="21"/>
                <w14:ligatures w14:val="none"/>
              </w:rPr>
              <w:t>Neotoma / Grand Canyon</w:t>
            </w:r>
          </w:p>
        </w:tc>
        <w:tc>
          <w:tcPr>
            <w:tcW w:w="0" w:type="auto"/>
            <w:tcBorders>
              <w:bottom w:val="single" w:sz="4" w:space="0" w:color="DCDFE5"/>
            </w:tcBorders>
            <w:vAlign w:val="center"/>
            <w:hideMark/>
          </w:tcPr>
          <w:p w14:paraId="42DE2471" w14:textId="77777777" w:rsidR="008E4688" w:rsidRPr="00784C33" w:rsidRDefault="008E4688" w:rsidP="00E30413">
            <w:pPr>
              <w:spacing w:after="0" w:line="240" w:lineRule="auto"/>
              <w:rPr>
                <w:rFonts w:ascii="Roboto" w:eastAsia="Times New Roman" w:hAnsi="Roboto" w:cs="Times New Roman"/>
                <w:kern w:val="0"/>
                <w:sz w:val="21"/>
                <w:szCs w:val="21"/>
                <w14:ligatures w14:val="none"/>
              </w:rPr>
            </w:pPr>
            <w:r w:rsidRPr="00784C33">
              <w:rPr>
                <w:rFonts w:ascii="Roboto" w:eastAsia="Times New Roman" w:hAnsi="Roboto" w:cs="Times New Roman"/>
                <w:i/>
                <w:iCs/>
                <w:kern w:val="0"/>
                <w:sz w:val="21"/>
                <w:szCs w:val="21"/>
                <w14:ligatures w14:val="none"/>
              </w:rPr>
              <w:t>Consolidated indurated matrix chunk</w:t>
            </w:r>
          </w:p>
        </w:tc>
        <w:tc>
          <w:tcPr>
            <w:tcW w:w="0" w:type="auto"/>
            <w:tcBorders>
              <w:bottom w:val="single" w:sz="4" w:space="0" w:color="DCDFE5"/>
            </w:tcBorders>
            <w:vAlign w:val="center"/>
            <w:hideMark/>
          </w:tcPr>
          <w:p w14:paraId="5F28DEFC" w14:textId="77777777" w:rsidR="008E4688" w:rsidRPr="00784C33" w:rsidRDefault="008E4688" w:rsidP="00E30413">
            <w:pPr>
              <w:spacing w:after="0" w:line="240" w:lineRule="auto"/>
              <w:rPr>
                <w:rFonts w:ascii="Roboto" w:eastAsia="Times New Roman" w:hAnsi="Roboto" w:cs="Times New Roman"/>
                <w:kern w:val="0"/>
                <w:sz w:val="21"/>
                <w:szCs w:val="21"/>
                <w14:ligatures w14:val="none"/>
              </w:rPr>
            </w:pPr>
            <w:r w:rsidRPr="00784C33">
              <w:rPr>
                <w:rFonts w:ascii="Roboto" w:eastAsia="Times New Roman" w:hAnsi="Roboto" w:cs="Times New Roman"/>
                <w:i/>
                <w:iCs/>
                <w:kern w:val="0"/>
                <w:sz w:val="21"/>
                <w:szCs w:val="21"/>
                <w14:ligatures w14:val="none"/>
              </w:rPr>
              <w:t>142.5g</w:t>
            </w:r>
          </w:p>
        </w:tc>
        <w:tc>
          <w:tcPr>
            <w:tcW w:w="0" w:type="auto"/>
            <w:tcBorders>
              <w:bottom w:val="single" w:sz="4" w:space="0" w:color="DCDFE5"/>
            </w:tcBorders>
            <w:vAlign w:val="center"/>
            <w:hideMark/>
          </w:tcPr>
          <w:p w14:paraId="3DFF64E1" w14:textId="77777777" w:rsidR="008E4688" w:rsidRPr="00784C33" w:rsidRDefault="008E4688" w:rsidP="00E30413">
            <w:pPr>
              <w:spacing w:after="0" w:line="240" w:lineRule="auto"/>
              <w:rPr>
                <w:rFonts w:ascii="Roboto" w:eastAsia="Times New Roman" w:hAnsi="Roboto" w:cs="Times New Roman"/>
                <w:kern w:val="0"/>
                <w:sz w:val="21"/>
                <w:szCs w:val="21"/>
                <w14:ligatures w14:val="none"/>
              </w:rPr>
            </w:pPr>
            <w:r w:rsidRPr="00784C33">
              <w:rPr>
                <w:rFonts w:ascii="Roboto" w:eastAsia="Times New Roman" w:hAnsi="Roboto" w:cs="Times New Roman"/>
                <w:i/>
                <w:iCs/>
                <w:kern w:val="0"/>
                <w:sz w:val="21"/>
                <w:szCs w:val="21"/>
                <w14:ligatures w14:val="none"/>
              </w:rPr>
              <w:t>Stable, minor loose debris</w:t>
            </w:r>
          </w:p>
        </w:tc>
        <w:tc>
          <w:tcPr>
            <w:tcW w:w="0" w:type="auto"/>
            <w:tcBorders>
              <w:bottom w:val="single" w:sz="4" w:space="0" w:color="DCDFE5"/>
            </w:tcBorders>
            <w:vAlign w:val="center"/>
            <w:hideMark/>
          </w:tcPr>
          <w:p w14:paraId="09CDE4D5" w14:textId="77777777" w:rsidR="008E4688" w:rsidRPr="00784C33" w:rsidRDefault="008E4688" w:rsidP="00E30413">
            <w:pPr>
              <w:spacing w:after="0" w:line="240" w:lineRule="auto"/>
              <w:rPr>
                <w:rFonts w:ascii="Roboto" w:eastAsia="Times New Roman" w:hAnsi="Roboto" w:cs="Times New Roman"/>
                <w:kern w:val="0"/>
                <w:sz w:val="21"/>
                <w:szCs w:val="21"/>
                <w14:ligatures w14:val="none"/>
              </w:rPr>
            </w:pPr>
          </w:p>
        </w:tc>
      </w:tr>
      <w:tr w:rsidR="008E4688" w:rsidRPr="00784C33" w14:paraId="1B12EC66" w14:textId="77777777" w:rsidTr="00E30413">
        <w:trPr>
          <w:tblCellSpacing w:w="15" w:type="dxa"/>
        </w:trPr>
        <w:tc>
          <w:tcPr>
            <w:tcW w:w="0" w:type="auto"/>
            <w:tcBorders>
              <w:bottom w:val="single" w:sz="4" w:space="0" w:color="DCDFE5"/>
            </w:tcBorders>
            <w:vAlign w:val="center"/>
            <w:hideMark/>
          </w:tcPr>
          <w:p w14:paraId="69A7EF2B" w14:textId="77777777" w:rsidR="008E4688" w:rsidRPr="00784C33" w:rsidRDefault="008E4688" w:rsidP="00E30413">
            <w:pPr>
              <w:spacing w:after="0" w:line="240" w:lineRule="auto"/>
              <w:rPr>
                <w:rFonts w:ascii="Roboto" w:eastAsia="Times New Roman" w:hAnsi="Roboto" w:cs="Times New Roman"/>
                <w:kern w:val="0"/>
                <w:sz w:val="21"/>
                <w:szCs w:val="21"/>
                <w14:ligatures w14:val="none"/>
              </w:rPr>
            </w:pPr>
            <w:r w:rsidRPr="00784C33">
              <w:rPr>
                <w:rFonts w:ascii="Roboto" w:eastAsia="Times New Roman" w:hAnsi="Roboto" w:cs="Times New Roman"/>
                <w:i/>
                <w:iCs/>
                <w:kern w:val="0"/>
                <w:sz w:val="21"/>
                <w:szCs w:val="21"/>
                <w14:ligatures w14:val="none"/>
              </w:rPr>
              <w:t>DL-1105</w:t>
            </w:r>
          </w:p>
        </w:tc>
        <w:tc>
          <w:tcPr>
            <w:tcW w:w="0" w:type="auto"/>
            <w:tcBorders>
              <w:bottom w:val="single" w:sz="4" w:space="0" w:color="DCDFE5"/>
            </w:tcBorders>
            <w:vAlign w:val="center"/>
            <w:hideMark/>
          </w:tcPr>
          <w:p w14:paraId="6A8F3576" w14:textId="77777777" w:rsidR="008E4688" w:rsidRPr="00784C33" w:rsidRDefault="008E4688" w:rsidP="00E30413">
            <w:pPr>
              <w:spacing w:after="0" w:line="240" w:lineRule="auto"/>
              <w:rPr>
                <w:rFonts w:ascii="Roboto" w:eastAsia="Times New Roman" w:hAnsi="Roboto" w:cs="Times New Roman"/>
                <w:kern w:val="0"/>
                <w:sz w:val="21"/>
                <w:szCs w:val="21"/>
                <w14:ligatures w14:val="none"/>
              </w:rPr>
            </w:pPr>
            <w:r w:rsidRPr="00784C33">
              <w:rPr>
                <w:rFonts w:ascii="Roboto" w:eastAsia="Times New Roman" w:hAnsi="Roboto" w:cs="Times New Roman"/>
                <w:i/>
                <w:iCs/>
                <w:kern w:val="0"/>
                <w:sz w:val="21"/>
                <w:szCs w:val="21"/>
                <w14:ligatures w14:val="none"/>
              </w:rPr>
              <w:t>Neotoma / Sonoran Desert</w:t>
            </w:r>
          </w:p>
        </w:tc>
        <w:tc>
          <w:tcPr>
            <w:tcW w:w="0" w:type="auto"/>
            <w:tcBorders>
              <w:bottom w:val="single" w:sz="4" w:space="0" w:color="DCDFE5"/>
            </w:tcBorders>
            <w:vAlign w:val="center"/>
            <w:hideMark/>
          </w:tcPr>
          <w:p w14:paraId="1302DED7" w14:textId="77777777" w:rsidR="008E4688" w:rsidRPr="00784C33" w:rsidRDefault="008E4688" w:rsidP="00E30413">
            <w:pPr>
              <w:spacing w:after="0" w:line="240" w:lineRule="auto"/>
              <w:rPr>
                <w:rFonts w:ascii="Roboto" w:eastAsia="Times New Roman" w:hAnsi="Roboto" w:cs="Times New Roman"/>
                <w:kern w:val="0"/>
                <w:sz w:val="21"/>
                <w:szCs w:val="21"/>
                <w14:ligatures w14:val="none"/>
              </w:rPr>
            </w:pPr>
            <w:r w:rsidRPr="00784C33">
              <w:rPr>
                <w:rFonts w:ascii="Roboto" w:eastAsia="Times New Roman" w:hAnsi="Roboto" w:cs="Times New Roman"/>
                <w:i/>
                <w:iCs/>
                <w:kern w:val="0"/>
                <w:sz w:val="21"/>
                <w:szCs w:val="21"/>
                <w14:ligatures w14:val="none"/>
              </w:rPr>
              <w:t>Separated Juniperus twigs &amp; seeds</w:t>
            </w:r>
          </w:p>
        </w:tc>
        <w:tc>
          <w:tcPr>
            <w:tcW w:w="0" w:type="auto"/>
            <w:tcBorders>
              <w:bottom w:val="single" w:sz="4" w:space="0" w:color="DCDFE5"/>
            </w:tcBorders>
            <w:vAlign w:val="center"/>
            <w:hideMark/>
          </w:tcPr>
          <w:p w14:paraId="702B91F4" w14:textId="77777777" w:rsidR="008E4688" w:rsidRPr="00784C33" w:rsidRDefault="008E4688" w:rsidP="00E30413">
            <w:pPr>
              <w:spacing w:after="0" w:line="240" w:lineRule="auto"/>
              <w:rPr>
                <w:rFonts w:ascii="Roboto" w:eastAsia="Times New Roman" w:hAnsi="Roboto" w:cs="Times New Roman"/>
                <w:kern w:val="0"/>
                <w:sz w:val="21"/>
                <w:szCs w:val="21"/>
                <w14:ligatures w14:val="none"/>
              </w:rPr>
            </w:pPr>
            <w:r w:rsidRPr="00784C33">
              <w:rPr>
                <w:rFonts w:ascii="Roboto" w:eastAsia="Times New Roman" w:hAnsi="Roboto" w:cs="Times New Roman"/>
                <w:i/>
                <w:iCs/>
                <w:kern w:val="0"/>
                <w:sz w:val="21"/>
                <w:szCs w:val="21"/>
                <w14:ligatures w14:val="none"/>
              </w:rPr>
              <w:t>12.1g</w:t>
            </w:r>
          </w:p>
        </w:tc>
        <w:tc>
          <w:tcPr>
            <w:tcW w:w="0" w:type="auto"/>
            <w:tcBorders>
              <w:bottom w:val="single" w:sz="4" w:space="0" w:color="DCDFE5"/>
            </w:tcBorders>
            <w:vAlign w:val="center"/>
            <w:hideMark/>
          </w:tcPr>
          <w:p w14:paraId="528B3227" w14:textId="77777777" w:rsidR="008E4688" w:rsidRPr="00784C33" w:rsidRDefault="008E4688" w:rsidP="00E30413">
            <w:pPr>
              <w:spacing w:after="0" w:line="240" w:lineRule="auto"/>
              <w:rPr>
                <w:rFonts w:ascii="Roboto" w:eastAsia="Times New Roman" w:hAnsi="Roboto" w:cs="Times New Roman"/>
                <w:kern w:val="0"/>
                <w:sz w:val="21"/>
                <w:szCs w:val="21"/>
                <w14:ligatures w14:val="none"/>
              </w:rPr>
            </w:pPr>
            <w:r w:rsidRPr="00784C33">
              <w:rPr>
                <w:rFonts w:ascii="Roboto" w:eastAsia="Times New Roman" w:hAnsi="Roboto" w:cs="Times New Roman"/>
                <w:i/>
                <w:iCs/>
                <w:kern w:val="0"/>
                <w:sz w:val="21"/>
                <w:szCs w:val="21"/>
                <w14:ligatures w14:val="none"/>
              </w:rPr>
              <w:t>Fragile, stored in vial</w:t>
            </w:r>
          </w:p>
        </w:tc>
        <w:tc>
          <w:tcPr>
            <w:tcW w:w="0" w:type="auto"/>
            <w:tcBorders>
              <w:bottom w:val="single" w:sz="4" w:space="0" w:color="DCDFE5"/>
            </w:tcBorders>
            <w:vAlign w:val="center"/>
            <w:hideMark/>
          </w:tcPr>
          <w:p w14:paraId="410FED64" w14:textId="77777777" w:rsidR="008E4688" w:rsidRPr="00784C33" w:rsidRDefault="008E4688" w:rsidP="00E30413">
            <w:pPr>
              <w:spacing w:after="0" w:line="240" w:lineRule="auto"/>
              <w:rPr>
                <w:rFonts w:ascii="Roboto" w:eastAsia="Times New Roman" w:hAnsi="Roboto" w:cs="Times New Roman"/>
                <w:kern w:val="0"/>
                <w:sz w:val="21"/>
                <w:szCs w:val="21"/>
                <w14:ligatures w14:val="none"/>
              </w:rPr>
            </w:pPr>
          </w:p>
        </w:tc>
      </w:tr>
    </w:tbl>
    <w:p w14:paraId="4003BB14" w14:textId="535E3D54" w:rsidR="008E4688" w:rsidRPr="00764A59" w:rsidRDefault="00764A59" w:rsidP="008E4688">
      <w:pPr>
        <w:rPr>
          <w:i/>
          <w:iCs/>
          <w:u w:val="single"/>
        </w:rPr>
      </w:pPr>
      <w:r>
        <w:rPr>
          <w:b/>
          <w:bCs/>
        </w:rPr>
        <w:br/>
      </w:r>
      <w:r w:rsidR="008E4688" w:rsidRPr="00764A59">
        <w:rPr>
          <w:i/>
          <w:iCs/>
          <w:u w:val="single"/>
        </w:rPr>
        <w:t>3</w:t>
      </w:r>
      <w:r w:rsidRPr="00764A59">
        <w:rPr>
          <w:i/>
          <w:iCs/>
          <w:u w:val="single"/>
        </w:rPr>
        <w:t>.1.3</w:t>
      </w:r>
      <w:r w:rsidR="008E4688" w:rsidRPr="00764A59">
        <w:rPr>
          <w:i/>
          <w:iCs/>
          <w:u w:val="single"/>
        </w:rPr>
        <w:t>. Borrower Acknowledgment of Receipt</w:t>
      </w:r>
    </w:p>
    <w:p w14:paraId="6A2CC6AE" w14:textId="77777777" w:rsidR="008E4688" w:rsidRPr="00784C33" w:rsidRDefault="008E4688" w:rsidP="008E4688">
      <w:r w:rsidRPr="00784C33">
        <w:t>I hereby acknowledge receipt of the specimens listed above. I confirm that their condition matches the "Initial Condition" remarks, except as noted in the "Arrival Condition" column. I agree to abide by the terms of the Desert Laboratory Loan Policy.</w:t>
      </w:r>
    </w:p>
    <w:p w14:paraId="139063AA" w14:textId="1C19E228" w:rsidR="008E4688" w:rsidRPr="00784C33" w:rsidRDefault="008E4688" w:rsidP="008E4688">
      <w:r w:rsidRPr="00784C33">
        <w:t>Receiver's Printed Name: _________________________________</w:t>
      </w:r>
      <w:r w:rsidRPr="00784C33">
        <w:br/>
        <w:t>Receiver's Signature: ___________________________ Date: _____________</w:t>
      </w:r>
    </w:p>
    <w:p w14:paraId="5DCEBEF0" w14:textId="77777777" w:rsidR="00784C33" w:rsidRPr="00784C33" w:rsidRDefault="00784C33" w:rsidP="00784C33">
      <w:pPr>
        <w:rPr>
          <w:b/>
          <w:bCs/>
        </w:rPr>
      </w:pPr>
      <w:r w:rsidRPr="00784C33">
        <w:rPr>
          <w:b/>
          <w:bCs/>
        </w:rPr>
        <w:t>4. Destructive Sampling and Analysis</w:t>
      </w:r>
    </w:p>
    <w:p w14:paraId="304ED7FC" w14:textId="61040229" w:rsidR="00784C33" w:rsidRDefault="00784C33" w:rsidP="00301D43">
      <w:r w:rsidRPr="00784C33">
        <w:t>Fossil middens are structurally fragile and finite.</w:t>
      </w:r>
      <w:r w:rsidR="00341D3B">
        <w:t xml:space="preserve"> A s</w:t>
      </w:r>
      <w:r w:rsidRPr="00341D3B">
        <w:t xml:space="preserve">eparate </w:t>
      </w:r>
      <w:r w:rsidR="00341D3B">
        <w:t>p</w:t>
      </w:r>
      <w:r w:rsidRPr="00341D3B">
        <w:t xml:space="preserve">roposal </w:t>
      </w:r>
      <w:r w:rsidR="00341D3B">
        <w:t>is r</w:t>
      </w:r>
      <w:r w:rsidRPr="00341D3B">
        <w:t>equired</w:t>
      </w:r>
      <w:r w:rsidR="00341D3B">
        <w:t xml:space="preserve"> if the borrower plans to employ</w:t>
      </w:r>
      <w:r w:rsidRPr="00784C33">
        <w:t xml:space="preserve"> </w:t>
      </w:r>
      <w:r w:rsidR="00341D3B">
        <w:t>a</w:t>
      </w:r>
      <w:r w:rsidRPr="00784C33">
        <w:t xml:space="preserve">ny procedure involving the breaking, dissolving (in water for macro/microfossil extraction), radiocarbon dating, stable isotope analysis, or destruction of any portion of a midden must be detailed in a separate </w:t>
      </w:r>
      <w:r w:rsidRPr="00341D3B">
        <w:t>Destructive Sampling Request.</w:t>
      </w:r>
      <w:r w:rsidR="00C12F02">
        <w:t xml:space="preserve"> </w:t>
      </w:r>
      <w:r w:rsidRPr="00784C33">
        <w:t>Unused residues, extracted pollen slides, or plant macrofossils derived from the loan must be cataloged, accounted for, and returned to the Desert Laboratory collection along with analytical reports and digital data files.</w:t>
      </w:r>
    </w:p>
    <w:p w14:paraId="0F7DABDF" w14:textId="16A310B2" w:rsidR="00682299" w:rsidRPr="00682299" w:rsidRDefault="00682299" w:rsidP="00682299">
      <w:pPr>
        <w:rPr>
          <w:i/>
          <w:iCs/>
        </w:rPr>
      </w:pPr>
      <w:r w:rsidRPr="00682299">
        <w:rPr>
          <w:i/>
          <w:iCs/>
        </w:rPr>
        <w:t>4.1</w:t>
      </w:r>
      <w:r w:rsidR="00942A0E">
        <w:rPr>
          <w:i/>
          <w:iCs/>
        </w:rPr>
        <w:t>.</w:t>
      </w:r>
      <w:r w:rsidRPr="00682299">
        <w:rPr>
          <w:i/>
          <w:iCs/>
        </w:rPr>
        <w:t xml:space="preserve">  Destructive Sampling </w:t>
      </w:r>
      <w:r>
        <w:rPr>
          <w:i/>
          <w:iCs/>
        </w:rPr>
        <w:t>Request</w:t>
      </w:r>
      <w:r w:rsidR="00942A0E">
        <w:rPr>
          <w:i/>
          <w:iCs/>
        </w:rPr>
        <w:t xml:space="preserve"> Information</w:t>
      </w:r>
    </w:p>
    <w:p w14:paraId="63375649" w14:textId="67A2F9E5" w:rsidR="00682299" w:rsidRPr="00784C33" w:rsidRDefault="00682299" w:rsidP="00682299">
      <w:r>
        <w:t xml:space="preserve">This </w:t>
      </w:r>
      <w:r w:rsidR="00942A0E">
        <w:t>information</w:t>
      </w:r>
      <w:r>
        <w:t xml:space="preserve"> will</w:t>
      </w:r>
      <w:r w:rsidRPr="00784C33">
        <w:t xml:space="preserve"> </w:t>
      </w:r>
      <w:r w:rsidR="00942A0E">
        <w:t>inform the</w:t>
      </w:r>
      <w:r w:rsidRPr="00784C33">
        <w:t xml:space="preserve"> agreement between the </w:t>
      </w:r>
      <w:r w:rsidRPr="00784C33">
        <w:rPr>
          <w:b/>
          <w:bCs/>
        </w:rPr>
        <w:t>Desert Laboratory on Tumamoc Hill</w:t>
      </w:r>
      <w:r w:rsidRPr="00784C33">
        <w:t xml:space="preserve"> (Lender) and the </w:t>
      </w:r>
      <w:r w:rsidRPr="00784C33">
        <w:rPr>
          <w:b/>
          <w:bCs/>
        </w:rPr>
        <w:t>Borrowing Institution</w:t>
      </w:r>
      <w:r w:rsidRPr="00784C33">
        <w:t xml:space="preserve"> (Borrower). It applies to any protocol that alters, consumes, or fragments midden matrix or individual macrofossils (e.g., radiocarbon dating, stable isotope analysis, DNA extraction, or washing/sieving).</w:t>
      </w:r>
    </w:p>
    <w:p w14:paraId="5CF62B46" w14:textId="02DCAEDA" w:rsidR="00682299" w:rsidRPr="00942A0E" w:rsidRDefault="00942A0E" w:rsidP="00682299">
      <w:pPr>
        <w:rPr>
          <w:i/>
          <w:iCs/>
          <w:u w:val="single"/>
        </w:rPr>
      </w:pPr>
      <w:r w:rsidRPr="00942A0E">
        <w:rPr>
          <w:i/>
          <w:iCs/>
          <w:u w:val="single"/>
        </w:rPr>
        <w:t>4.1.</w:t>
      </w:r>
      <w:r w:rsidR="00682299" w:rsidRPr="00942A0E">
        <w:rPr>
          <w:i/>
          <w:iCs/>
          <w:u w:val="single"/>
        </w:rPr>
        <w:t>1. Sampling Constraints</w:t>
      </w:r>
    </w:p>
    <w:p w14:paraId="6AE706D3" w14:textId="54EC5991" w:rsidR="00682299" w:rsidRPr="00784C33" w:rsidRDefault="00682299" w:rsidP="00682299">
      <w:pPr>
        <w:numPr>
          <w:ilvl w:val="0"/>
          <w:numId w:val="9"/>
        </w:numPr>
      </w:pPr>
      <w:r w:rsidRPr="00784C33">
        <w:rPr>
          <w:b/>
          <w:bCs/>
        </w:rPr>
        <w:t>Approval Limit:</w:t>
      </w:r>
      <w:r w:rsidRPr="00784C33">
        <w:t xml:space="preserve"> Sampling is strictly limited to the specific </w:t>
      </w:r>
      <w:proofErr w:type="gramStart"/>
      <w:r w:rsidRPr="00784C33">
        <w:t>taxa</w:t>
      </w:r>
      <w:proofErr w:type="gramEnd"/>
      <w:r w:rsidRPr="00784C33">
        <w:t xml:space="preserve">, sample weights, or catalog numbers approved in writing by the </w:t>
      </w:r>
      <w:r w:rsidR="00475765">
        <w:t>Director</w:t>
      </w:r>
      <w:r w:rsidRPr="00784C33">
        <w:t>.</w:t>
      </w:r>
    </w:p>
    <w:p w14:paraId="124143F7" w14:textId="1F2B7AC8" w:rsidR="00682299" w:rsidRPr="00784C33" w:rsidRDefault="00682299" w:rsidP="00682299">
      <w:pPr>
        <w:numPr>
          <w:ilvl w:val="0"/>
          <w:numId w:val="9"/>
        </w:numPr>
      </w:pPr>
      <w:r w:rsidRPr="00784C33">
        <w:rPr>
          <w:b/>
          <w:bCs/>
        </w:rPr>
        <w:lastRenderedPageBreak/>
        <w:t>Voucher Retention:</w:t>
      </w:r>
      <w:r w:rsidRPr="00784C33">
        <w:t xml:space="preserve"> A minimum of </w:t>
      </w:r>
      <w:r w:rsidRPr="00784C33">
        <w:rPr>
          <w:b/>
          <w:bCs/>
        </w:rPr>
        <w:t>50% of the original midden mass</w:t>
      </w:r>
      <w:r w:rsidRPr="00784C33">
        <w:t xml:space="preserve"> (or a core/representative chunk) must remain intact as a permanent voucher specimen in the Desert Laboratory collection. Complete consumption of a midden is prohibited.</w:t>
      </w:r>
    </w:p>
    <w:p w14:paraId="6CD90FA1" w14:textId="77777777" w:rsidR="00682299" w:rsidRPr="00784C33" w:rsidRDefault="00682299" w:rsidP="00682299">
      <w:pPr>
        <w:numPr>
          <w:ilvl w:val="0"/>
          <w:numId w:val="10"/>
        </w:numPr>
      </w:pPr>
      <w:r w:rsidRPr="00784C33">
        <w:rPr>
          <w:b/>
          <w:bCs/>
        </w:rPr>
        <w:t>Documentation:</w:t>
      </w:r>
      <w:r w:rsidRPr="00784C33">
        <w:t xml:space="preserve"> The Borrower must take high-resolution digital photographs of the specimen </w:t>
      </w:r>
      <w:r w:rsidRPr="00784C33">
        <w:rPr>
          <w:i/>
          <w:iCs/>
        </w:rPr>
        <w:t>before</w:t>
      </w:r>
      <w:r w:rsidRPr="00784C33">
        <w:t xml:space="preserve"> and </w:t>
      </w:r>
      <w:r w:rsidRPr="00784C33">
        <w:rPr>
          <w:i/>
          <w:iCs/>
        </w:rPr>
        <w:t>after</w:t>
      </w:r>
      <w:r w:rsidRPr="00784C33">
        <w:t xml:space="preserve"> sampling. These photos must be sent to the Lender within 30 days of sampling.</w:t>
      </w:r>
    </w:p>
    <w:p w14:paraId="5E397678" w14:textId="01F7F4C8" w:rsidR="00682299" w:rsidRPr="00F83D7F" w:rsidRDefault="00F83D7F" w:rsidP="00682299">
      <w:pPr>
        <w:rPr>
          <w:i/>
          <w:iCs/>
          <w:u w:val="single"/>
        </w:rPr>
      </w:pPr>
      <w:r w:rsidRPr="00F83D7F">
        <w:rPr>
          <w:i/>
          <w:iCs/>
          <w:u w:val="single"/>
        </w:rPr>
        <w:t>4.1.2</w:t>
      </w:r>
      <w:r w:rsidR="00682299" w:rsidRPr="00F83D7F">
        <w:rPr>
          <w:i/>
          <w:iCs/>
          <w:u w:val="single"/>
        </w:rPr>
        <w:t>. Post-Analysis Requirements</w:t>
      </w:r>
    </w:p>
    <w:p w14:paraId="5D82B17C" w14:textId="77777777" w:rsidR="00682299" w:rsidRPr="00784C33" w:rsidRDefault="00682299" w:rsidP="00682299">
      <w:pPr>
        <w:numPr>
          <w:ilvl w:val="0"/>
          <w:numId w:val="11"/>
        </w:numPr>
      </w:pPr>
      <w:r w:rsidRPr="00784C33">
        <w:rPr>
          <w:b/>
          <w:bCs/>
        </w:rPr>
        <w:t>Unused Material:</w:t>
      </w:r>
      <w:r w:rsidRPr="00784C33">
        <w:t xml:space="preserve"> Any unused processed material, residual matrix, sieved macrofossils, or prepared slides (e.g., pollen mounts) remain the property of the Lender. They must be returned with the original loan.</w:t>
      </w:r>
    </w:p>
    <w:p w14:paraId="79DFBE5B" w14:textId="018184E4" w:rsidR="00682299" w:rsidRDefault="00682299" w:rsidP="00682299">
      <w:pPr>
        <w:numPr>
          <w:ilvl w:val="0"/>
          <w:numId w:val="11"/>
        </w:numPr>
      </w:pPr>
      <w:r w:rsidRPr="00784C33">
        <w:rPr>
          <w:b/>
          <w:bCs/>
        </w:rPr>
        <w:t>Data Sharing:</w:t>
      </w:r>
      <w:r w:rsidRPr="00784C33">
        <w:t xml:space="preserve"> Copies of all raw analytical data, including AMS radiocarbon age certificates, stable isotope ratios, and genetic sequences (with GenBank accession numbers), must be submitted to the Desert Laboratory within </w:t>
      </w:r>
      <w:r w:rsidRPr="006C69B1">
        <w:t>six months</w:t>
      </w:r>
      <w:r w:rsidRPr="00784C33">
        <w:t xml:space="preserve"> of data generation.</w:t>
      </w:r>
    </w:p>
    <w:p w14:paraId="6CD25CF0" w14:textId="2BA90E4F" w:rsidR="006C69B1" w:rsidRDefault="006C69B1" w:rsidP="006C69B1">
      <w:pPr>
        <w:rPr>
          <w:i/>
          <w:iCs/>
          <w:u w:val="single"/>
        </w:rPr>
      </w:pPr>
      <w:r w:rsidRPr="006C69B1">
        <w:rPr>
          <w:i/>
          <w:iCs/>
          <w:u w:val="single"/>
        </w:rPr>
        <w:t>4.1.</w:t>
      </w:r>
      <w:r>
        <w:rPr>
          <w:i/>
          <w:iCs/>
          <w:u w:val="single"/>
        </w:rPr>
        <w:t>3</w:t>
      </w:r>
      <w:r w:rsidRPr="006C69B1">
        <w:rPr>
          <w:i/>
          <w:iCs/>
          <w:u w:val="single"/>
        </w:rPr>
        <w:t xml:space="preserve">. </w:t>
      </w:r>
      <w:r>
        <w:rPr>
          <w:i/>
          <w:iCs/>
          <w:u w:val="single"/>
        </w:rPr>
        <w:t>Signatures and authorizations</w:t>
      </w:r>
    </w:p>
    <w:p w14:paraId="269BEA2F" w14:textId="59FAB1BD" w:rsidR="006C69B1" w:rsidRPr="006C69B1" w:rsidRDefault="006C69B1" w:rsidP="006C69B1">
      <w:r>
        <w:t>Required by both the borrower and the lender</w:t>
      </w:r>
    </w:p>
    <w:p w14:paraId="7F21E907" w14:textId="77777777" w:rsidR="006F712C" w:rsidRDefault="00784C33" w:rsidP="006F712C">
      <w:pPr>
        <w:rPr>
          <w:b/>
          <w:bCs/>
        </w:rPr>
      </w:pPr>
      <w:r w:rsidRPr="00784C33">
        <w:rPr>
          <w:b/>
          <w:bCs/>
        </w:rPr>
        <w:t>5. Duration of Loans</w:t>
      </w:r>
    </w:p>
    <w:p w14:paraId="4F0FB02A" w14:textId="5E2F475D" w:rsidR="00784C33" w:rsidRPr="006F712C" w:rsidRDefault="00784C33" w:rsidP="006F712C">
      <w:pPr>
        <w:rPr>
          <w:b/>
          <w:bCs/>
        </w:rPr>
      </w:pPr>
      <w:r w:rsidRPr="00784C33">
        <w:t xml:space="preserve">Standard research loans are issued for a maximum period of </w:t>
      </w:r>
      <w:r w:rsidRPr="006F712C">
        <w:t>one (1) year.</w:t>
      </w:r>
      <w:r w:rsidR="006F712C">
        <w:rPr>
          <w:b/>
          <w:bCs/>
        </w:rPr>
        <w:t xml:space="preserve"> </w:t>
      </w:r>
      <w:r w:rsidRPr="00784C33">
        <w:t xml:space="preserve">Written requests for extensions must be submitted to the </w:t>
      </w:r>
      <w:r w:rsidR="006F712C">
        <w:t>Director (E. Gornish)</w:t>
      </w:r>
      <w:r w:rsidRPr="00784C33">
        <w:t xml:space="preserve"> prior to the expiration date.</w:t>
      </w:r>
      <w:r w:rsidR="006F712C">
        <w:rPr>
          <w:b/>
          <w:bCs/>
        </w:rPr>
        <w:t xml:space="preserve"> </w:t>
      </w:r>
      <w:r w:rsidRPr="00784C33">
        <w:t xml:space="preserve">The Desert Laboratory reserves the right to recall any loaned material at any time with fourteen </w:t>
      </w:r>
      <w:proofErr w:type="spellStart"/>
      <w:proofErr w:type="gramStart"/>
      <w:r w:rsidRPr="00784C33">
        <w:t>days</w:t>
      </w:r>
      <w:proofErr w:type="gramEnd"/>
      <w:r w:rsidRPr="00784C33">
        <w:t xml:space="preserve"> notice</w:t>
      </w:r>
      <w:proofErr w:type="spellEnd"/>
      <w:r w:rsidRPr="00784C33">
        <w:t>.</w:t>
      </w:r>
    </w:p>
    <w:p w14:paraId="5C410831" w14:textId="77777777" w:rsidR="00784C33" w:rsidRPr="00784C33" w:rsidRDefault="00784C33" w:rsidP="00784C33">
      <w:pPr>
        <w:rPr>
          <w:b/>
          <w:bCs/>
        </w:rPr>
      </w:pPr>
      <w:r w:rsidRPr="00784C33">
        <w:rPr>
          <w:b/>
          <w:bCs/>
        </w:rPr>
        <w:t>6. Handling, Storage, and Security</w:t>
      </w:r>
    </w:p>
    <w:p w14:paraId="18FB4290" w14:textId="6EC0EA36" w:rsidR="00784C33" w:rsidRPr="00784C33" w:rsidRDefault="00784C33" w:rsidP="00ED78CE">
      <w:r w:rsidRPr="00784C33">
        <w:t>Specimens must be handled with extreme care using appropriate clean tools and protective gear to avoid fragmentation or modern contamination.</w:t>
      </w:r>
      <w:r w:rsidR="00ED78CE">
        <w:t xml:space="preserve"> </w:t>
      </w:r>
      <w:r w:rsidRPr="00784C33">
        <w:t>Loaned middens must be stored in a secure, climate-controlled environment protected from high humidity, extreme temperature swings, direct sunlight, and insect/rodent pests.</w:t>
      </w:r>
      <w:r w:rsidR="00ED78CE">
        <w:t xml:space="preserve"> </w:t>
      </w:r>
      <w:r w:rsidRPr="00784C33">
        <w:t>Material may not be sub-loaned, transferred to a third party, or moved to a different laboratory without explicit written permission from the Desert Laboratory.</w:t>
      </w:r>
    </w:p>
    <w:p w14:paraId="58623953" w14:textId="77777777" w:rsidR="00784C33" w:rsidRPr="00784C33" w:rsidRDefault="00784C33" w:rsidP="00784C33">
      <w:pPr>
        <w:rPr>
          <w:b/>
          <w:bCs/>
        </w:rPr>
      </w:pPr>
      <w:r w:rsidRPr="00784C33">
        <w:rPr>
          <w:b/>
          <w:bCs/>
        </w:rPr>
        <w:t>7. Shipping and Insurance</w:t>
      </w:r>
    </w:p>
    <w:p w14:paraId="51F020A9" w14:textId="08C70344" w:rsidR="00784C33" w:rsidRPr="00784C33" w:rsidRDefault="00784C33" w:rsidP="00ED78CE">
      <w:r w:rsidRPr="00784C33">
        <w:t>The borrower is responsible for all packing, shipping, and insurance costs (both outbound and return).</w:t>
      </w:r>
      <w:r w:rsidR="00ED78CE">
        <w:t xml:space="preserve"> </w:t>
      </w:r>
      <w:r w:rsidRPr="00784C33">
        <w:t>Middens must be insured for the full valuation stated on the original invoice.</w:t>
      </w:r>
      <w:r w:rsidR="00ED78CE">
        <w:t xml:space="preserve"> </w:t>
      </w:r>
      <w:r w:rsidRPr="00784C33">
        <w:lastRenderedPageBreak/>
        <w:t>Return shipments must utilize the identical (or superior) archival packing materials and be dispatched via a traceable, expedited carrier (e.g., FedEx, UPS).</w:t>
      </w:r>
    </w:p>
    <w:p w14:paraId="482D5745" w14:textId="77777777" w:rsidR="00784C33" w:rsidRPr="00784C33" w:rsidRDefault="00784C33" w:rsidP="00784C33">
      <w:pPr>
        <w:rPr>
          <w:b/>
          <w:bCs/>
        </w:rPr>
      </w:pPr>
      <w:r w:rsidRPr="00784C33">
        <w:rPr>
          <w:b/>
          <w:bCs/>
        </w:rPr>
        <w:t>8. Acknowledgement and Curation</w:t>
      </w:r>
    </w:p>
    <w:p w14:paraId="4D1AAFF5" w14:textId="53A31AC3" w:rsidR="00784C33" w:rsidRPr="009C2181" w:rsidRDefault="00784C33" w:rsidP="009C2181">
      <w:r w:rsidRPr="00784C33">
        <w:t xml:space="preserve">All publications, theses, or presentations resulting from the loan must explicitly acknowledge the </w:t>
      </w:r>
      <w:r w:rsidRPr="00C12F02">
        <w:t>Desert Laboratory on Tumamoc Hill.</w:t>
      </w:r>
      <w:r w:rsidR="00C12F02">
        <w:t xml:space="preserve"> </w:t>
      </w:r>
      <w:r w:rsidRPr="00784C33">
        <w:t>The borrower must provide the Desert Laboratory with one reprint or digital PDF of any resulting publication.</w:t>
      </w:r>
    </w:p>
    <w:p w14:paraId="6F0FDC5B" w14:textId="26B04711" w:rsidR="00784C33" w:rsidRPr="00784C33" w:rsidRDefault="00784C33" w:rsidP="00784C33">
      <w:pPr>
        <w:rPr>
          <w:b/>
          <w:bCs/>
        </w:rPr>
      </w:pPr>
      <w:r w:rsidRPr="00784C33">
        <w:rPr>
          <w:b/>
          <w:bCs/>
        </w:rPr>
        <w:t>9. Enforcement and Compliance</w:t>
      </w:r>
    </w:p>
    <w:p w14:paraId="2FEBB457" w14:textId="4570B06E" w:rsidR="005070B7" w:rsidRDefault="00784C33">
      <w:r w:rsidRPr="00784C33">
        <w:t>Failure to return loaned material, submit required status reports, or provide copies of resulting publications within the specified timeframe will result in an immediate suspension of borrowing privileges for the Principal Investigator (PI).</w:t>
      </w:r>
      <w:r w:rsidR="009C2181">
        <w:t xml:space="preserve"> </w:t>
      </w:r>
      <w:r w:rsidRPr="00784C33">
        <w:t xml:space="preserve">If a PI remains non-compliant for more than six months past the deadline, the suspension will extend to the </w:t>
      </w:r>
      <w:r w:rsidRPr="009C2181">
        <w:t>entire borrowing institution</w:t>
      </w:r>
      <w:r w:rsidRPr="00784C33">
        <w:t>. No further loans will be issued to any researcher at that institution until the outstanding requirements are fulfilled.</w:t>
      </w:r>
      <w:r w:rsidR="00341FC6">
        <w:t xml:space="preserve"> </w:t>
      </w:r>
      <w:r w:rsidRPr="00784C33">
        <w:t>The Desert Laboratory reserves the right to notify major scientific funding agencies (e.g., National Science Foundation) of contractual non-compliance if the research was supported by public grants.</w:t>
      </w:r>
      <w:r w:rsidR="00341FC6">
        <w:t xml:space="preserve"> </w:t>
      </w:r>
      <w:r w:rsidRPr="00784C33">
        <w:t>The borrowing institution assumes liability for all legal, administrative, and collection agency fees incurred by the Desert Laboratory while attempting to recover unreturned specimens or mandated datasets.</w:t>
      </w:r>
    </w:p>
    <w:sectPr w:rsidR="005070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55BBD"/>
    <w:multiLevelType w:val="multilevel"/>
    <w:tmpl w:val="79DA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86E1C"/>
    <w:multiLevelType w:val="multilevel"/>
    <w:tmpl w:val="FE3E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A65A6"/>
    <w:multiLevelType w:val="multilevel"/>
    <w:tmpl w:val="D7AC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C34D6"/>
    <w:multiLevelType w:val="multilevel"/>
    <w:tmpl w:val="64A8D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E90FF4"/>
    <w:multiLevelType w:val="multilevel"/>
    <w:tmpl w:val="6CF43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713A4"/>
    <w:multiLevelType w:val="multilevel"/>
    <w:tmpl w:val="73B4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B73606"/>
    <w:multiLevelType w:val="multilevel"/>
    <w:tmpl w:val="64B27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DC3DC6"/>
    <w:multiLevelType w:val="multilevel"/>
    <w:tmpl w:val="AA3666CE"/>
    <w:lvl w:ilvl="0">
      <w:start w:val="1"/>
      <w:numFmt w:val="lowerRoman"/>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BB22EA"/>
    <w:multiLevelType w:val="multilevel"/>
    <w:tmpl w:val="2D6CE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E833B3"/>
    <w:multiLevelType w:val="multilevel"/>
    <w:tmpl w:val="3AF63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F73C7C"/>
    <w:multiLevelType w:val="multilevel"/>
    <w:tmpl w:val="5016C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7834D6"/>
    <w:multiLevelType w:val="multilevel"/>
    <w:tmpl w:val="468E0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5434E5"/>
    <w:multiLevelType w:val="multilevel"/>
    <w:tmpl w:val="E240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BE3F6B"/>
    <w:multiLevelType w:val="multilevel"/>
    <w:tmpl w:val="3514A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EE025A"/>
    <w:multiLevelType w:val="multilevel"/>
    <w:tmpl w:val="CB54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193004">
    <w:abstractNumId w:val="1"/>
  </w:num>
  <w:num w:numId="2" w16cid:durableId="1463573176">
    <w:abstractNumId w:val="2"/>
  </w:num>
  <w:num w:numId="3" w16cid:durableId="2040471075">
    <w:abstractNumId w:val="7"/>
  </w:num>
  <w:num w:numId="4" w16cid:durableId="1826894832">
    <w:abstractNumId w:val="13"/>
  </w:num>
  <w:num w:numId="5" w16cid:durableId="1235699973">
    <w:abstractNumId w:val="11"/>
  </w:num>
  <w:num w:numId="6" w16cid:durableId="748119240">
    <w:abstractNumId w:val="5"/>
  </w:num>
  <w:num w:numId="7" w16cid:durableId="764611334">
    <w:abstractNumId w:val="8"/>
  </w:num>
  <w:num w:numId="8" w16cid:durableId="1953511733">
    <w:abstractNumId w:val="10"/>
  </w:num>
  <w:num w:numId="9" w16cid:durableId="725222059">
    <w:abstractNumId w:val="14"/>
  </w:num>
  <w:num w:numId="10" w16cid:durableId="718015561">
    <w:abstractNumId w:val="12"/>
  </w:num>
  <w:num w:numId="11" w16cid:durableId="1678196029">
    <w:abstractNumId w:val="0"/>
  </w:num>
  <w:num w:numId="12" w16cid:durableId="1534658041">
    <w:abstractNumId w:val="6"/>
  </w:num>
  <w:num w:numId="13" w16cid:durableId="1796673661">
    <w:abstractNumId w:val="9"/>
  </w:num>
  <w:num w:numId="14" w16cid:durableId="1595899779">
    <w:abstractNumId w:val="3"/>
  </w:num>
  <w:num w:numId="15" w16cid:durableId="2492430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316"/>
    <w:rsid w:val="0014519E"/>
    <w:rsid w:val="001E6833"/>
    <w:rsid w:val="00215162"/>
    <w:rsid w:val="00301D43"/>
    <w:rsid w:val="00341D3B"/>
    <w:rsid w:val="00341FC6"/>
    <w:rsid w:val="00475765"/>
    <w:rsid w:val="004A3B2A"/>
    <w:rsid w:val="004C7B4C"/>
    <w:rsid w:val="005070B7"/>
    <w:rsid w:val="005C5941"/>
    <w:rsid w:val="005C62C7"/>
    <w:rsid w:val="00611D47"/>
    <w:rsid w:val="006545A8"/>
    <w:rsid w:val="00682299"/>
    <w:rsid w:val="006B17CD"/>
    <w:rsid w:val="006C69B1"/>
    <w:rsid w:val="006F712C"/>
    <w:rsid w:val="00764A59"/>
    <w:rsid w:val="00772316"/>
    <w:rsid w:val="00784C33"/>
    <w:rsid w:val="007E5749"/>
    <w:rsid w:val="00810FC1"/>
    <w:rsid w:val="008B3C2E"/>
    <w:rsid w:val="008E4688"/>
    <w:rsid w:val="00900C8C"/>
    <w:rsid w:val="00942A0E"/>
    <w:rsid w:val="009C2181"/>
    <w:rsid w:val="009F2405"/>
    <w:rsid w:val="00B9582A"/>
    <w:rsid w:val="00C12F02"/>
    <w:rsid w:val="00C5073B"/>
    <w:rsid w:val="00C51E65"/>
    <w:rsid w:val="00D015D9"/>
    <w:rsid w:val="00D0231E"/>
    <w:rsid w:val="00D11D49"/>
    <w:rsid w:val="00D33928"/>
    <w:rsid w:val="00EA0CF5"/>
    <w:rsid w:val="00ED78CE"/>
    <w:rsid w:val="00F31A49"/>
    <w:rsid w:val="00F83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64925"/>
  <w15:chartTrackingRefBased/>
  <w15:docId w15:val="{7010F73C-EF70-4817-8CF2-FCEC59BD7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23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23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23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23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23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23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23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23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23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3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23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23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23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23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23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23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23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2316"/>
    <w:rPr>
      <w:rFonts w:eastAsiaTheme="majorEastAsia" w:cstheme="majorBidi"/>
      <w:color w:val="272727" w:themeColor="text1" w:themeTint="D8"/>
    </w:rPr>
  </w:style>
  <w:style w:type="paragraph" w:styleId="Title">
    <w:name w:val="Title"/>
    <w:basedOn w:val="Normal"/>
    <w:next w:val="Normal"/>
    <w:link w:val="TitleChar"/>
    <w:uiPriority w:val="10"/>
    <w:qFormat/>
    <w:rsid w:val="007723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23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23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23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2316"/>
    <w:pPr>
      <w:spacing w:before="160"/>
      <w:jc w:val="center"/>
    </w:pPr>
    <w:rPr>
      <w:i/>
      <w:iCs/>
      <w:color w:val="404040" w:themeColor="text1" w:themeTint="BF"/>
    </w:rPr>
  </w:style>
  <w:style w:type="character" w:customStyle="1" w:styleId="QuoteChar">
    <w:name w:val="Quote Char"/>
    <w:basedOn w:val="DefaultParagraphFont"/>
    <w:link w:val="Quote"/>
    <w:uiPriority w:val="29"/>
    <w:rsid w:val="00772316"/>
    <w:rPr>
      <w:i/>
      <w:iCs/>
      <w:color w:val="404040" w:themeColor="text1" w:themeTint="BF"/>
    </w:rPr>
  </w:style>
  <w:style w:type="paragraph" w:styleId="ListParagraph">
    <w:name w:val="List Paragraph"/>
    <w:basedOn w:val="Normal"/>
    <w:uiPriority w:val="34"/>
    <w:qFormat/>
    <w:rsid w:val="00772316"/>
    <w:pPr>
      <w:ind w:left="720"/>
      <w:contextualSpacing/>
    </w:pPr>
  </w:style>
  <w:style w:type="character" w:styleId="IntenseEmphasis">
    <w:name w:val="Intense Emphasis"/>
    <w:basedOn w:val="DefaultParagraphFont"/>
    <w:uiPriority w:val="21"/>
    <w:qFormat/>
    <w:rsid w:val="00772316"/>
    <w:rPr>
      <w:i/>
      <w:iCs/>
      <w:color w:val="0F4761" w:themeColor="accent1" w:themeShade="BF"/>
    </w:rPr>
  </w:style>
  <w:style w:type="paragraph" w:styleId="IntenseQuote">
    <w:name w:val="Intense Quote"/>
    <w:basedOn w:val="Normal"/>
    <w:next w:val="Normal"/>
    <w:link w:val="IntenseQuoteChar"/>
    <w:uiPriority w:val="30"/>
    <w:qFormat/>
    <w:rsid w:val="007723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2316"/>
    <w:rPr>
      <w:i/>
      <w:iCs/>
      <w:color w:val="0F4761" w:themeColor="accent1" w:themeShade="BF"/>
    </w:rPr>
  </w:style>
  <w:style w:type="character" w:styleId="IntenseReference">
    <w:name w:val="Intense Reference"/>
    <w:basedOn w:val="DefaultParagraphFont"/>
    <w:uiPriority w:val="32"/>
    <w:qFormat/>
    <w:rsid w:val="00772316"/>
    <w:rPr>
      <w:b/>
      <w:bCs/>
      <w:smallCaps/>
      <w:color w:val="0F4761" w:themeColor="accent1" w:themeShade="BF"/>
      <w:spacing w:val="5"/>
    </w:rPr>
  </w:style>
  <w:style w:type="character" w:styleId="Strong">
    <w:name w:val="Strong"/>
    <w:basedOn w:val="DefaultParagraphFont"/>
    <w:uiPriority w:val="22"/>
    <w:qFormat/>
    <w:rsid w:val="00784C33"/>
    <w:rPr>
      <w:b/>
      <w:bCs/>
    </w:rPr>
  </w:style>
  <w:style w:type="character" w:styleId="Emphasis">
    <w:name w:val="Emphasis"/>
    <w:basedOn w:val="DefaultParagraphFont"/>
    <w:uiPriority w:val="20"/>
    <w:qFormat/>
    <w:rsid w:val="00784C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1109</Words>
  <Characters>6324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Gornish, Elise - (egornish)</dc:creator>
  <cp:keywords/>
  <dc:description/>
  <cp:lastModifiedBy>Tanaka, Erin Marie - (erintanaka)</cp:lastModifiedBy>
  <cp:revision>2</cp:revision>
  <dcterms:created xsi:type="dcterms:W3CDTF">2026-09-15T18:04:00Z</dcterms:created>
  <dcterms:modified xsi:type="dcterms:W3CDTF">2026-09-15T18:04:00Z</dcterms:modified>
</cp:coreProperties>
</file>